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2"/>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8"/>
        <w:gridCol w:w="1170"/>
      </w:tblGrid>
      <w:tr w:rsidR="00305D11" w:rsidRPr="00E72307" w14:paraId="67DE48EA" w14:textId="77777777" w:rsidTr="0090536B">
        <w:trPr>
          <w:trHeight w:val="533"/>
        </w:trPr>
        <w:tc>
          <w:tcPr>
            <w:tcW w:w="8568" w:type="dxa"/>
            <w:tcBorders>
              <w:bottom w:val="single" w:sz="4" w:space="0" w:color="000000"/>
            </w:tcBorders>
            <w:shd w:val="clear" w:color="auto" w:fill="DBE5F1" w:themeFill="accent1" w:themeFillTint="33"/>
            <w:vAlign w:val="center"/>
          </w:tcPr>
          <w:p w14:paraId="3E4AF7F6" w14:textId="77777777" w:rsidR="00903BAE" w:rsidRPr="00E72307" w:rsidRDefault="00C85229"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C</w:t>
            </w:r>
            <w:r w:rsidR="006F5326">
              <w:rPr>
                <w:rFonts w:cs="Arial"/>
                <w:b/>
                <w:sz w:val="20"/>
                <w:szCs w:val="20"/>
              </w:rPr>
              <w:t>ommunity Futures</w:t>
            </w:r>
            <w:r>
              <w:rPr>
                <w:rFonts w:cs="Arial"/>
                <w:b/>
                <w:sz w:val="20"/>
                <w:szCs w:val="20"/>
              </w:rPr>
              <w:t xml:space="preserve"> Performance </w:t>
            </w:r>
            <w:r w:rsidR="006F5326">
              <w:rPr>
                <w:rFonts w:cs="Arial"/>
                <w:b/>
                <w:sz w:val="20"/>
                <w:szCs w:val="20"/>
              </w:rPr>
              <w:t>Results</w:t>
            </w:r>
          </w:p>
        </w:tc>
        <w:tc>
          <w:tcPr>
            <w:tcW w:w="1170" w:type="dxa"/>
            <w:tcBorders>
              <w:bottom w:val="single" w:sz="4" w:space="0" w:color="000000"/>
            </w:tcBorders>
            <w:shd w:val="clear" w:color="auto" w:fill="DBE5F1" w:themeFill="accent1" w:themeFillTint="33"/>
            <w:vAlign w:val="center"/>
          </w:tcPr>
          <w:p w14:paraId="5D177487" w14:textId="14E49526" w:rsidR="00305D11" w:rsidRPr="00E72307" w:rsidRDefault="000E446D" w:rsidP="006F52BA">
            <w:pPr>
              <w:keepNext/>
              <w:keepLines/>
              <w:tabs>
                <w:tab w:val="left" w:pos="6024"/>
                <w:tab w:val="left" w:pos="7159"/>
              </w:tabs>
              <w:autoSpaceDE w:val="0"/>
              <w:autoSpaceDN w:val="0"/>
              <w:adjustRightInd w:val="0"/>
              <w:jc w:val="center"/>
              <w:rPr>
                <w:rFonts w:cs="Arial"/>
                <w:b/>
                <w:sz w:val="20"/>
                <w:szCs w:val="20"/>
              </w:rPr>
            </w:pPr>
            <w:r>
              <w:rPr>
                <w:rFonts w:cs="Arial"/>
                <w:b/>
                <w:sz w:val="20"/>
                <w:szCs w:val="20"/>
              </w:rPr>
              <w:t>20</w:t>
            </w:r>
            <w:r w:rsidR="001048DF">
              <w:rPr>
                <w:rFonts w:cs="Arial"/>
                <w:b/>
                <w:sz w:val="20"/>
                <w:szCs w:val="20"/>
              </w:rPr>
              <w:t>2</w:t>
            </w:r>
            <w:r w:rsidR="00B91766">
              <w:rPr>
                <w:rFonts w:cs="Arial"/>
                <w:b/>
                <w:sz w:val="20"/>
                <w:szCs w:val="20"/>
              </w:rPr>
              <w:t>3</w:t>
            </w:r>
            <w:r w:rsidR="0090536B">
              <w:rPr>
                <w:rFonts w:cs="Arial"/>
                <w:b/>
                <w:sz w:val="20"/>
                <w:szCs w:val="20"/>
              </w:rPr>
              <w:t>-</w:t>
            </w:r>
            <w:r w:rsidR="00D97949">
              <w:rPr>
                <w:rFonts w:cs="Arial"/>
                <w:b/>
                <w:sz w:val="20"/>
                <w:szCs w:val="20"/>
              </w:rPr>
              <w:t>2</w:t>
            </w:r>
            <w:r w:rsidR="00B91766">
              <w:rPr>
                <w:rFonts w:cs="Arial"/>
                <w:b/>
                <w:sz w:val="20"/>
                <w:szCs w:val="20"/>
              </w:rPr>
              <w:t>4</w:t>
            </w:r>
          </w:p>
        </w:tc>
      </w:tr>
      <w:tr w:rsidR="00305D11" w:rsidRPr="00E72307" w14:paraId="7CC894EB" w14:textId="77777777" w:rsidTr="000032F8">
        <w:trPr>
          <w:trHeight w:val="659"/>
        </w:trPr>
        <w:tc>
          <w:tcPr>
            <w:tcW w:w="9738" w:type="dxa"/>
            <w:gridSpan w:val="2"/>
            <w:tcBorders>
              <w:bottom w:val="single" w:sz="4" w:space="0" w:color="000000"/>
            </w:tcBorders>
            <w:shd w:val="clear" w:color="auto" w:fill="auto"/>
            <w:vAlign w:val="center"/>
          </w:tcPr>
          <w:p w14:paraId="55A02C19" w14:textId="77777777" w:rsidR="00305D11" w:rsidRPr="00E72307" w:rsidRDefault="00305D11" w:rsidP="000032F8">
            <w:pPr>
              <w:keepNext/>
              <w:keepLines/>
              <w:tabs>
                <w:tab w:val="left" w:pos="6024"/>
                <w:tab w:val="left" w:pos="7159"/>
              </w:tabs>
              <w:autoSpaceDE w:val="0"/>
              <w:autoSpaceDN w:val="0"/>
              <w:adjustRightInd w:val="0"/>
              <w:spacing w:after="0"/>
              <w:jc w:val="center"/>
              <w:rPr>
                <w:rFonts w:cs="Arial"/>
                <w:b/>
                <w:sz w:val="20"/>
                <w:szCs w:val="20"/>
              </w:rPr>
            </w:pPr>
            <w:r w:rsidRPr="00E72307">
              <w:rPr>
                <w:rFonts w:cs="Arial"/>
                <w:b/>
                <w:i/>
                <w:sz w:val="20"/>
                <w:szCs w:val="20"/>
              </w:rPr>
              <w:t>Strong rural community strategic planning and implementation</w:t>
            </w:r>
          </w:p>
        </w:tc>
      </w:tr>
      <w:tr w:rsidR="00305D11" w:rsidRPr="00E72307" w14:paraId="48FA43F3" w14:textId="77777777" w:rsidTr="0090536B">
        <w:trPr>
          <w:trHeight w:val="443"/>
        </w:trPr>
        <w:tc>
          <w:tcPr>
            <w:tcW w:w="8568" w:type="dxa"/>
            <w:tcBorders>
              <w:top w:val="single" w:sz="4" w:space="0" w:color="000000"/>
              <w:bottom w:val="single" w:sz="4" w:space="0" w:color="auto"/>
            </w:tcBorders>
            <w:shd w:val="clear" w:color="auto" w:fill="auto"/>
            <w:vAlign w:val="center"/>
          </w:tcPr>
          <w:p w14:paraId="3605F368" w14:textId="77777777" w:rsidR="0063129F" w:rsidRPr="00E351D5" w:rsidRDefault="00305D11" w:rsidP="00CE1F1B">
            <w:pPr>
              <w:keepNext/>
              <w:keepLines/>
              <w:tabs>
                <w:tab w:val="left" w:pos="6024"/>
                <w:tab w:val="left" w:pos="7159"/>
              </w:tabs>
              <w:autoSpaceDE w:val="0"/>
              <w:autoSpaceDN w:val="0"/>
              <w:adjustRightInd w:val="0"/>
              <w:rPr>
                <w:rFonts w:cs="Arial"/>
                <w:b/>
                <w:sz w:val="20"/>
                <w:szCs w:val="20"/>
              </w:rPr>
            </w:pPr>
            <w:r w:rsidRPr="00E351D5">
              <w:rPr>
                <w:rFonts w:cs="Arial"/>
                <w:sz w:val="20"/>
                <w:szCs w:val="20"/>
              </w:rPr>
              <w:t>1. Total number</w:t>
            </w:r>
            <w:r w:rsidR="003E2596">
              <w:rPr>
                <w:rFonts w:cs="Arial"/>
                <w:sz w:val="20"/>
                <w:szCs w:val="20"/>
              </w:rPr>
              <w:t xml:space="preserve"> of community</w:t>
            </w:r>
            <w:r w:rsidR="00D011D2">
              <w:rPr>
                <w:rFonts w:cs="Arial"/>
                <w:sz w:val="20"/>
                <w:szCs w:val="20"/>
              </w:rPr>
              <w:t>-</w:t>
            </w:r>
            <w:r w:rsidR="003E2596">
              <w:rPr>
                <w:rFonts w:cs="Arial"/>
                <w:sz w:val="20"/>
                <w:szCs w:val="20"/>
              </w:rPr>
              <w:t>based projects</w:t>
            </w:r>
            <w:r w:rsidR="00716BF1">
              <w:rPr>
                <w:rFonts w:cs="Arial"/>
                <w:sz w:val="20"/>
                <w:szCs w:val="20"/>
              </w:rPr>
              <w:t xml:space="preserve"> (new &amp; on-going)</w:t>
            </w:r>
          </w:p>
        </w:tc>
        <w:tc>
          <w:tcPr>
            <w:tcW w:w="1170" w:type="dxa"/>
            <w:tcBorders>
              <w:top w:val="single" w:sz="4" w:space="0" w:color="000000"/>
              <w:bottom w:val="single" w:sz="4" w:space="0" w:color="auto"/>
            </w:tcBorders>
            <w:shd w:val="clear" w:color="auto" w:fill="auto"/>
            <w:vAlign w:val="center"/>
          </w:tcPr>
          <w:p w14:paraId="1D57B653" w14:textId="4DC27F51" w:rsidR="00305D11" w:rsidRPr="00E72307" w:rsidRDefault="00013A83"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23</w:t>
            </w:r>
          </w:p>
        </w:tc>
      </w:tr>
      <w:tr w:rsidR="00D011D2" w:rsidRPr="00E72307" w14:paraId="50470208" w14:textId="77777777" w:rsidTr="0090536B">
        <w:trPr>
          <w:trHeight w:val="443"/>
        </w:trPr>
        <w:tc>
          <w:tcPr>
            <w:tcW w:w="8568" w:type="dxa"/>
            <w:tcBorders>
              <w:top w:val="single" w:sz="4" w:space="0" w:color="000000"/>
              <w:bottom w:val="single" w:sz="4" w:space="0" w:color="auto"/>
            </w:tcBorders>
            <w:shd w:val="clear" w:color="auto" w:fill="auto"/>
            <w:vAlign w:val="center"/>
          </w:tcPr>
          <w:p w14:paraId="440DAB27" w14:textId="77777777" w:rsidR="00D011D2" w:rsidRPr="00E351D5" w:rsidRDefault="00D011D2" w:rsidP="00716BF1">
            <w:pPr>
              <w:keepNext/>
              <w:keepLines/>
              <w:tabs>
                <w:tab w:val="left" w:pos="6024"/>
                <w:tab w:val="left" w:pos="7159"/>
              </w:tabs>
              <w:autoSpaceDE w:val="0"/>
              <w:autoSpaceDN w:val="0"/>
              <w:adjustRightInd w:val="0"/>
              <w:rPr>
                <w:rFonts w:cs="Arial"/>
                <w:b/>
                <w:sz w:val="20"/>
                <w:szCs w:val="20"/>
              </w:rPr>
            </w:pPr>
            <w:r>
              <w:rPr>
                <w:rFonts w:cs="Arial"/>
                <w:sz w:val="20"/>
                <w:szCs w:val="20"/>
              </w:rPr>
              <w:t>2</w:t>
            </w:r>
            <w:r w:rsidRPr="00E351D5">
              <w:rPr>
                <w:rFonts w:cs="Arial"/>
                <w:sz w:val="20"/>
                <w:szCs w:val="20"/>
              </w:rPr>
              <w:t xml:space="preserve">. </w:t>
            </w:r>
            <w:r w:rsidR="00716BF1">
              <w:rPr>
                <w:rFonts w:cs="Arial"/>
                <w:sz w:val="20"/>
                <w:szCs w:val="20"/>
              </w:rPr>
              <w:t>Total number of local and regionally-based community strategic</w:t>
            </w:r>
            <w:r w:rsidR="00CE1F1B">
              <w:rPr>
                <w:rFonts w:cs="Arial"/>
                <w:sz w:val="20"/>
                <w:szCs w:val="20"/>
              </w:rPr>
              <w:t xml:space="preserve"> plans developed and/or updated</w:t>
            </w:r>
          </w:p>
        </w:tc>
        <w:tc>
          <w:tcPr>
            <w:tcW w:w="1170" w:type="dxa"/>
            <w:tcBorders>
              <w:top w:val="single" w:sz="4" w:space="0" w:color="000000"/>
              <w:bottom w:val="single" w:sz="4" w:space="0" w:color="auto"/>
            </w:tcBorders>
            <w:shd w:val="clear" w:color="auto" w:fill="auto"/>
            <w:vAlign w:val="center"/>
          </w:tcPr>
          <w:p w14:paraId="5B6BC3E5" w14:textId="68B960AB" w:rsidR="00D011D2" w:rsidRPr="00E72307" w:rsidRDefault="00013A83" w:rsidP="00D011D2">
            <w:pPr>
              <w:keepNext/>
              <w:keepLines/>
              <w:tabs>
                <w:tab w:val="left" w:pos="6024"/>
                <w:tab w:val="left" w:pos="7159"/>
              </w:tabs>
              <w:autoSpaceDE w:val="0"/>
              <w:autoSpaceDN w:val="0"/>
              <w:adjustRightInd w:val="0"/>
              <w:jc w:val="center"/>
              <w:rPr>
                <w:rFonts w:cs="Arial"/>
                <w:b/>
                <w:sz w:val="20"/>
                <w:szCs w:val="20"/>
              </w:rPr>
            </w:pPr>
            <w:r>
              <w:rPr>
                <w:rFonts w:cs="Arial"/>
                <w:b/>
                <w:sz w:val="20"/>
                <w:szCs w:val="20"/>
              </w:rPr>
              <w:t>3</w:t>
            </w:r>
          </w:p>
        </w:tc>
      </w:tr>
      <w:tr w:rsidR="003E2596" w:rsidRPr="00E72307" w14:paraId="6DBE85C1" w14:textId="77777777" w:rsidTr="0090536B">
        <w:trPr>
          <w:trHeight w:val="463"/>
        </w:trPr>
        <w:tc>
          <w:tcPr>
            <w:tcW w:w="8568" w:type="dxa"/>
            <w:tcBorders>
              <w:top w:val="single" w:sz="4" w:space="0" w:color="auto"/>
            </w:tcBorders>
            <w:shd w:val="clear" w:color="auto" w:fill="auto"/>
            <w:vAlign w:val="center"/>
          </w:tcPr>
          <w:p w14:paraId="4F25BE94" w14:textId="77777777" w:rsidR="003E2596" w:rsidRPr="00E351D5" w:rsidRDefault="003E2596" w:rsidP="00D011D2">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business development services</w:t>
            </w:r>
          </w:p>
        </w:tc>
        <w:tc>
          <w:tcPr>
            <w:tcW w:w="1170" w:type="dxa"/>
            <w:tcBorders>
              <w:top w:val="single" w:sz="4" w:space="0" w:color="auto"/>
              <w:bottom w:val="single" w:sz="4" w:space="0" w:color="auto"/>
            </w:tcBorders>
            <w:shd w:val="clear" w:color="auto" w:fill="auto"/>
            <w:vAlign w:val="center"/>
          </w:tcPr>
          <w:p w14:paraId="760D0D27" w14:textId="77777777" w:rsidR="003E2596" w:rsidRPr="00E72307" w:rsidRDefault="003E2596" w:rsidP="00D011D2">
            <w:pPr>
              <w:keepNext/>
              <w:keepLines/>
              <w:tabs>
                <w:tab w:val="left" w:pos="6024"/>
                <w:tab w:val="left" w:pos="7159"/>
              </w:tabs>
              <w:autoSpaceDE w:val="0"/>
              <w:autoSpaceDN w:val="0"/>
              <w:adjustRightInd w:val="0"/>
              <w:jc w:val="center"/>
              <w:rPr>
                <w:rFonts w:cs="Arial"/>
                <w:b/>
                <w:sz w:val="20"/>
                <w:szCs w:val="20"/>
              </w:rPr>
            </w:pPr>
          </w:p>
        </w:tc>
      </w:tr>
      <w:tr w:rsidR="003E2596" w:rsidRPr="00E72307" w14:paraId="22939AE6" w14:textId="77777777" w:rsidTr="0090536B">
        <w:trPr>
          <w:trHeight w:val="463"/>
        </w:trPr>
        <w:tc>
          <w:tcPr>
            <w:tcW w:w="8568" w:type="dxa"/>
            <w:shd w:val="clear" w:color="auto" w:fill="auto"/>
            <w:vAlign w:val="center"/>
          </w:tcPr>
          <w:p w14:paraId="411E2F3B"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3</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training session participants </w:t>
            </w:r>
          </w:p>
        </w:tc>
        <w:tc>
          <w:tcPr>
            <w:tcW w:w="1170" w:type="dxa"/>
            <w:tcBorders>
              <w:top w:val="single" w:sz="4" w:space="0" w:color="auto"/>
              <w:bottom w:val="single" w:sz="4" w:space="0" w:color="auto"/>
            </w:tcBorders>
            <w:shd w:val="clear" w:color="auto" w:fill="auto"/>
            <w:vAlign w:val="center"/>
          </w:tcPr>
          <w:p w14:paraId="3E06B67C" w14:textId="5E4B77F5" w:rsidR="003E2596" w:rsidRPr="00E72307" w:rsidRDefault="00013A83"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553</w:t>
            </w:r>
          </w:p>
        </w:tc>
      </w:tr>
      <w:tr w:rsidR="003E2596" w:rsidRPr="00E72307" w14:paraId="74F7E9F3" w14:textId="77777777" w:rsidTr="0090536B">
        <w:trPr>
          <w:trHeight w:val="463"/>
        </w:trPr>
        <w:tc>
          <w:tcPr>
            <w:tcW w:w="8568" w:type="dxa"/>
            <w:shd w:val="clear" w:color="auto" w:fill="auto"/>
            <w:vAlign w:val="center"/>
          </w:tcPr>
          <w:p w14:paraId="13AA39F5" w14:textId="77777777" w:rsidR="003E2596" w:rsidRPr="00FE5858" w:rsidRDefault="00FE5858" w:rsidP="00FE5858">
            <w:pPr>
              <w:keepNext/>
              <w:keepLines/>
              <w:tabs>
                <w:tab w:val="left" w:pos="6024"/>
                <w:tab w:val="left" w:pos="7159"/>
              </w:tabs>
              <w:autoSpaceDE w:val="0"/>
              <w:autoSpaceDN w:val="0"/>
              <w:adjustRightInd w:val="0"/>
              <w:rPr>
                <w:rFonts w:cs="Arial"/>
                <w:i/>
                <w:sz w:val="20"/>
                <w:szCs w:val="20"/>
              </w:rPr>
            </w:pPr>
            <w:r>
              <w:rPr>
                <w:rFonts w:cs="Arial"/>
                <w:sz w:val="20"/>
                <w:szCs w:val="20"/>
              </w:rPr>
              <w:t>4</w:t>
            </w:r>
            <w:r w:rsidR="003E2596" w:rsidRPr="00FE5858">
              <w:rPr>
                <w:rFonts w:cs="Arial"/>
                <w:sz w:val="20"/>
                <w:szCs w:val="20"/>
              </w:rPr>
              <w:t xml:space="preserve">. </w:t>
            </w:r>
            <w:r w:rsidR="00CE1F1B" w:rsidRPr="00FE5858">
              <w:rPr>
                <w:rFonts w:cs="Arial"/>
                <w:sz w:val="20"/>
                <w:szCs w:val="20"/>
              </w:rPr>
              <w:t>Total n</w:t>
            </w:r>
            <w:r w:rsidR="003E2596" w:rsidRPr="00FE5858">
              <w:rPr>
                <w:rFonts w:cs="Arial"/>
                <w:sz w:val="20"/>
                <w:szCs w:val="20"/>
              </w:rPr>
              <w:t xml:space="preserve">umber of business advisory services </w:t>
            </w:r>
          </w:p>
        </w:tc>
        <w:tc>
          <w:tcPr>
            <w:tcW w:w="1170" w:type="dxa"/>
            <w:tcBorders>
              <w:top w:val="single" w:sz="4" w:space="0" w:color="auto"/>
              <w:bottom w:val="single" w:sz="4" w:space="0" w:color="auto"/>
            </w:tcBorders>
            <w:shd w:val="clear" w:color="auto" w:fill="auto"/>
            <w:vAlign w:val="center"/>
          </w:tcPr>
          <w:p w14:paraId="047E1BAA" w14:textId="016014E0" w:rsidR="003E2596" w:rsidRPr="00E72307" w:rsidRDefault="00013A83"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440</w:t>
            </w:r>
          </w:p>
        </w:tc>
      </w:tr>
      <w:tr w:rsidR="003E2596" w:rsidRPr="00E72307" w14:paraId="6CD15709" w14:textId="77777777" w:rsidTr="0090536B">
        <w:trPr>
          <w:trHeight w:val="463"/>
        </w:trPr>
        <w:tc>
          <w:tcPr>
            <w:tcW w:w="8568" w:type="dxa"/>
            <w:shd w:val="clear" w:color="auto" w:fill="auto"/>
            <w:vAlign w:val="center"/>
          </w:tcPr>
          <w:p w14:paraId="65D6FB06" w14:textId="77777777" w:rsidR="003E2596" w:rsidRPr="00E351D5" w:rsidRDefault="003E2596" w:rsidP="0056519D">
            <w:pPr>
              <w:keepNext/>
              <w:keepLines/>
              <w:tabs>
                <w:tab w:val="left" w:pos="6024"/>
                <w:tab w:val="left" w:pos="7159"/>
              </w:tabs>
              <w:autoSpaceDE w:val="0"/>
              <w:autoSpaceDN w:val="0"/>
              <w:adjustRightInd w:val="0"/>
              <w:ind w:left="270"/>
              <w:jc w:val="center"/>
              <w:rPr>
                <w:rFonts w:cs="Arial"/>
                <w:i/>
                <w:sz w:val="20"/>
                <w:szCs w:val="20"/>
              </w:rPr>
            </w:pPr>
            <w:r w:rsidRPr="00E72307">
              <w:rPr>
                <w:rFonts w:cs="Arial"/>
                <w:b/>
                <w:i/>
                <w:sz w:val="20"/>
                <w:szCs w:val="20"/>
              </w:rPr>
              <w:t>Rural access to capital and leveraged capital</w:t>
            </w:r>
          </w:p>
        </w:tc>
        <w:tc>
          <w:tcPr>
            <w:tcW w:w="1170" w:type="dxa"/>
            <w:tcBorders>
              <w:top w:val="single" w:sz="4" w:space="0" w:color="auto"/>
              <w:bottom w:val="single" w:sz="4" w:space="0" w:color="000000"/>
            </w:tcBorders>
            <w:shd w:val="clear" w:color="auto" w:fill="auto"/>
            <w:vAlign w:val="center"/>
          </w:tcPr>
          <w:p w14:paraId="0368F6D1" w14:textId="77777777" w:rsidR="003E2596" w:rsidRPr="00E72307" w:rsidRDefault="003E2596" w:rsidP="000032F8">
            <w:pPr>
              <w:keepNext/>
              <w:keepLines/>
              <w:tabs>
                <w:tab w:val="left" w:pos="6024"/>
                <w:tab w:val="left" w:pos="7159"/>
              </w:tabs>
              <w:autoSpaceDE w:val="0"/>
              <w:autoSpaceDN w:val="0"/>
              <w:adjustRightInd w:val="0"/>
              <w:jc w:val="center"/>
              <w:rPr>
                <w:rFonts w:cs="Arial"/>
                <w:b/>
                <w:sz w:val="20"/>
                <w:szCs w:val="20"/>
              </w:rPr>
            </w:pPr>
          </w:p>
        </w:tc>
      </w:tr>
      <w:tr w:rsidR="00BE6567" w:rsidRPr="00E72307" w14:paraId="2DA4D307" w14:textId="77777777" w:rsidTr="0090536B">
        <w:trPr>
          <w:trHeight w:val="355"/>
        </w:trPr>
        <w:tc>
          <w:tcPr>
            <w:tcW w:w="8568" w:type="dxa"/>
            <w:shd w:val="clear" w:color="auto" w:fill="auto"/>
            <w:vAlign w:val="center"/>
          </w:tcPr>
          <w:p w14:paraId="3604ED6E" w14:textId="77777777" w:rsidR="00BE6567"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5</w:t>
            </w:r>
            <w:r w:rsidR="00BE6567">
              <w:rPr>
                <w:rFonts w:cs="Arial"/>
                <w:sz w:val="20"/>
                <w:szCs w:val="20"/>
              </w:rPr>
              <w:t>.  Dollar value of loans</w:t>
            </w:r>
          </w:p>
        </w:tc>
        <w:tc>
          <w:tcPr>
            <w:tcW w:w="1170" w:type="dxa"/>
            <w:shd w:val="clear" w:color="auto" w:fill="auto"/>
            <w:vAlign w:val="center"/>
          </w:tcPr>
          <w:p w14:paraId="761563DC" w14:textId="030C322D" w:rsidR="00BE6567" w:rsidRPr="00E72307" w:rsidRDefault="00013A83"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$617,100</w:t>
            </w:r>
          </w:p>
        </w:tc>
      </w:tr>
      <w:tr w:rsidR="004E0068" w:rsidRPr="00E72307" w14:paraId="57CD6B30" w14:textId="77777777" w:rsidTr="0090536B">
        <w:trPr>
          <w:trHeight w:val="355"/>
        </w:trPr>
        <w:tc>
          <w:tcPr>
            <w:tcW w:w="8568" w:type="dxa"/>
            <w:shd w:val="clear" w:color="auto" w:fill="auto"/>
            <w:vAlign w:val="center"/>
          </w:tcPr>
          <w:p w14:paraId="274080CC" w14:textId="77777777" w:rsidR="004E0068" w:rsidRDefault="00FE5858" w:rsidP="00FE5858">
            <w:pPr>
              <w:keepNext/>
              <w:keepLines/>
              <w:tabs>
                <w:tab w:val="left" w:pos="6024"/>
                <w:tab w:val="left" w:pos="7159"/>
              </w:tabs>
              <w:autoSpaceDE w:val="0"/>
              <w:autoSpaceDN w:val="0"/>
              <w:adjustRightInd w:val="0"/>
              <w:rPr>
                <w:rFonts w:cs="Arial"/>
                <w:sz w:val="20"/>
                <w:szCs w:val="20"/>
              </w:rPr>
            </w:pPr>
            <w:r>
              <w:rPr>
                <w:rFonts w:cs="Arial"/>
                <w:sz w:val="20"/>
                <w:szCs w:val="20"/>
              </w:rPr>
              <w:t>6</w:t>
            </w:r>
            <w:r w:rsidR="004E0068">
              <w:rPr>
                <w:rFonts w:cs="Arial"/>
                <w:sz w:val="20"/>
                <w:szCs w:val="20"/>
              </w:rPr>
              <w:t xml:space="preserve">. </w:t>
            </w:r>
            <w:r w:rsidR="00CE1F1B">
              <w:rPr>
                <w:rFonts w:cs="Arial"/>
                <w:sz w:val="20"/>
                <w:szCs w:val="20"/>
              </w:rPr>
              <w:t>Total n</w:t>
            </w:r>
            <w:r w:rsidR="004E0068">
              <w:rPr>
                <w:rFonts w:cs="Arial"/>
                <w:sz w:val="20"/>
                <w:szCs w:val="20"/>
              </w:rPr>
              <w:t>umber</w:t>
            </w:r>
            <w:r w:rsidR="004E0068" w:rsidRPr="00E72307">
              <w:rPr>
                <w:rFonts w:cs="Arial"/>
                <w:sz w:val="20"/>
                <w:szCs w:val="20"/>
              </w:rPr>
              <w:t xml:space="preserve"> of loans  </w:t>
            </w:r>
          </w:p>
        </w:tc>
        <w:tc>
          <w:tcPr>
            <w:tcW w:w="1170" w:type="dxa"/>
            <w:shd w:val="clear" w:color="auto" w:fill="auto"/>
            <w:vAlign w:val="center"/>
          </w:tcPr>
          <w:p w14:paraId="7099CFFF" w14:textId="491C9B4C" w:rsidR="004E0068" w:rsidRPr="00E72307" w:rsidRDefault="00013A83"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11</w:t>
            </w:r>
          </w:p>
        </w:tc>
      </w:tr>
      <w:tr w:rsidR="003E2596" w:rsidRPr="00E72307" w14:paraId="01B95258" w14:textId="77777777" w:rsidTr="0090536B">
        <w:trPr>
          <w:trHeight w:val="355"/>
        </w:trPr>
        <w:tc>
          <w:tcPr>
            <w:tcW w:w="8568" w:type="dxa"/>
            <w:shd w:val="clear" w:color="auto" w:fill="auto"/>
            <w:vAlign w:val="center"/>
          </w:tcPr>
          <w:p w14:paraId="7E95EC85" w14:textId="77777777" w:rsidR="003E2596" w:rsidRDefault="00FE5858" w:rsidP="00FE5858">
            <w:pPr>
              <w:keepNext/>
              <w:keepLines/>
              <w:tabs>
                <w:tab w:val="left" w:pos="6024"/>
                <w:tab w:val="left" w:pos="7159"/>
              </w:tabs>
              <w:autoSpaceDE w:val="0"/>
              <w:autoSpaceDN w:val="0"/>
              <w:adjustRightInd w:val="0"/>
              <w:jc w:val="both"/>
              <w:rPr>
                <w:rFonts w:cs="Arial"/>
                <w:sz w:val="20"/>
                <w:szCs w:val="20"/>
              </w:rPr>
            </w:pPr>
            <w:r>
              <w:rPr>
                <w:rFonts w:cs="Arial"/>
                <w:sz w:val="20"/>
                <w:szCs w:val="20"/>
              </w:rPr>
              <w:t>7</w:t>
            </w:r>
            <w:r w:rsidR="004E0068">
              <w:rPr>
                <w:rFonts w:cs="Arial"/>
                <w:sz w:val="20"/>
                <w:szCs w:val="20"/>
              </w:rPr>
              <w:t>. Number</w:t>
            </w:r>
            <w:r w:rsidR="004E0068" w:rsidRPr="00E72307">
              <w:rPr>
                <w:rFonts w:cs="Arial"/>
                <w:sz w:val="20"/>
                <w:szCs w:val="20"/>
              </w:rPr>
              <w:t xml:space="preserve"> of </w:t>
            </w:r>
            <w:r w:rsidR="004E0068">
              <w:rPr>
                <w:rFonts w:cs="Arial"/>
                <w:sz w:val="20"/>
                <w:szCs w:val="20"/>
              </w:rPr>
              <w:t>jobs created/maintained/expanded</w:t>
            </w:r>
            <w:r w:rsidR="00716BF1">
              <w:rPr>
                <w:rFonts w:cs="Arial"/>
                <w:sz w:val="20"/>
                <w:szCs w:val="20"/>
              </w:rPr>
              <w:t xml:space="preserve"> </w:t>
            </w:r>
            <w:r w:rsidR="004E0068">
              <w:rPr>
                <w:rFonts w:cs="Arial"/>
                <w:sz w:val="20"/>
                <w:szCs w:val="20"/>
              </w:rPr>
              <w:t>through lending</w:t>
            </w:r>
            <w:r w:rsidR="004E0068">
              <w:rPr>
                <w:rStyle w:val="FootnoteReference"/>
                <w:rFonts w:cs="Arial"/>
                <w:sz w:val="20"/>
                <w:szCs w:val="20"/>
              </w:rPr>
              <w:footnoteReference w:id="1"/>
            </w:r>
          </w:p>
        </w:tc>
        <w:tc>
          <w:tcPr>
            <w:tcW w:w="1170" w:type="dxa"/>
            <w:shd w:val="clear" w:color="auto" w:fill="auto"/>
            <w:vAlign w:val="center"/>
          </w:tcPr>
          <w:p w14:paraId="589FB395" w14:textId="0588B5F6" w:rsidR="003E2596" w:rsidRPr="00E72307" w:rsidRDefault="00013A83" w:rsidP="000032F8">
            <w:pPr>
              <w:keepNext/>
              <w:keepLines/>
              <w:tabs>
                <w:tab w:val="left" w:pos="6024"/>
                <w:tab w:val="left" w:pos="7159"/>
              </w:tabs>
              <w:autoSpaceDE w:val="0"/>
              <w:autoSpaceDN w:val="0"/>
              <w:adjustRightInd w:val="0"/>
              <w:jc w:val="center"/>
              <w:rPr>
                <w:rFonts w:cs="Arial"/>
                <w:b/>
                <w:sz w:val="20"/>
                <w:szCs w:val="20"/>
              </w:rPr>
            </w:pPr>
            <w:r>
              <w:rPr>
                <w:rFonts w:cs="Arial"/>
                <w:b/>
                <w:sz w:val="20"/>
                <w:szCs w:val="20"/>
              </w:rPr>
              <w:t>45</w:t>
            </w:r>
          </w:p>
        </w:tc>
      </w:tr>
      <w:tr w:rsidR="003E2596" w:rsidRPr="00E72307" w14:paraId="253460BD" w14:textId="77777777" w:rsidTr="000032F8">
        <w:trPr>
          <w:trHeight w:val="562"/>
        </w:trPr>
        <w:tc>
          <w:tcPr>
            <w:tcW w:w="9738" w:type="dxa"/>
            <w:gridSpan w:val="2"/>
            <w:shd w:val="clear" w:color="auto" w:fill="auto"/>
            <w:vAlign w:val="center"/>
          </w:tcPr>
          <w:p w14:paraId="3D98AD12" w14:textId="77777777" w:rsidR="003E2596" w:rsidRPr="00E72307" w:rsidRDefault="003E2596" w:rsidP="000032F8">
            <w:pPr>
              <w:keepNext/>
              <w:keepLines/>
              <w:tabs>
                <w:tab w:val="left" w:pos="6024"/>
                <w:tab w:val="left" w:pos="7159"/>
              </w:tabs>
              <w:autoSpaceDE w:val="0"/>
              <w:autoSpaceDN w:val="0"/>
              <w:adjustRightInd w:val="0"/>
              <w:rPr>
                <w:rFonts w:cs="Arial"/>
                <w:b/>
                <w:sz w:val="20"/>
                <w:szCs w:val="20"/>
              </w:rPr>
            </w:pPr>
          </w:p>
        </w:tc>
      </w:tr>
    </w:tbl>
    <w:tbl>
      <w:tblPr>
        <w:tblStyle w:val="TableGrid"/>
        <w:tblW w:w="9738" w:type="dxa"/>
        <w:tblLook w:val="04A0" w:firstRow="1" w:lastRow="0" w:firstColumn="1" w:lastColumn="0" w:noHBand="0" w:noVBand="1"/>
      </w:tblPr>
      <w:tblGrid>
        <w:gridCol w:w="9738"/>
      </w:tblGrid>
      <w:tr w:rsidR="00F609C9" w14:paraId="79FC7B7E" w14:textId="77777777" w:rsidTr="000032F8">
        <w:tc>
          <w:tcPr>
            <w:tcW w:w="9738" w:type="dxa"/>
          </w:tcPr>
          <w:p w14:paraId="0C4F8E5C" w14:textId="63584605" w:rsidR="00F609C9" w:rsidRDefault="00463FCE" w:rsidP="00164DFE">
            <w:pPr>
              <w:spacing w:before="240"/>
              <w:rPr>
                <w:rFonts w:cs="Arial"/>
                <w:sz w:val="20"/>
                <w:szCs w:val="20"/>
              </w:rPr>
            </w:pPr>
            <w:r>
              <w:rPr>
                <w:rFonts w:cs="Arial"/>
                <w:sz w:val="20"/>
                <w:szCs w:val="20"/>
              </w:rPr>
              <w:t>The 2023-2024 year saw continued recovery in the economy</w:t>
            </w:r>
            <w:r w:rsidR="00990CEC">
              <w:rPr>
                <w:rFonts w:cs="Arial"/>
                <w:sz w:val="20"/>
                <w:szCs w:val="20"/>
              </w:rPr>
              <w:t xml:space="preserve"> and the economic trends in the Lakeland were towards retail and service industries.</w:t>
            </w:r>
            <w:r w:rsidR="00C861C1">
              <w:rPr>
                <w:rFonts w:cs="Arial"/>
                <w:sz w:val="20"/>
                <w:szCs w:val="20"/>
              </w:rPr>
              <w:t xml:space="preserve"> We expect that the region will continue to grow with construction </w:t>
            </w:r>
            <w:r w:rsidR="00CD3E18">
              <w:rPr>
                <w:rFonts w:cs="Arial"/>
                <w:sz w:val="20"/>
                <w:szCs w:val="20"/>
              </w:rPr>
              <w:t xml:space="preserve">on 4 Wing Cold Lake Base. There is further excitement towards the economic capitalization with </w:t>
            </w:r>
            <w:r w:rsidR="000740AC">
              <w:rPr>
                <w:rFonts w:cs="Arial"/>
                <w:sz w:val="20"/>
                <w:szCs w:val="20"/>
              </w:rPr>
              <w:t xml:space="preserve">the carbon capture project </w:t>
            </w:r>
            <w:r w:rsidR="004B2ABF">
              <w:rPr>
                <w:rFonts w:cs="Arial"/>
                <w:sz w:val="20"/>
                <w:szCs w:val="20"/>
              </w:rPr>
              <w:t xml:space="preserve">being planned for our area.  </w:t>
            </w:r>
            <w:r w:rsidR="001365E0">
              <w:rPr>
                <w:rFonts w:cs="Arial"/>
                <w:sz w:val="20"/>
                <w:szCs w:val="20"/>
              </w:rPr>
              <w:t>We continue to promote CF Lakeland in our area and bui</w:t>
            </w:r>
            <w:r w:rsidR="00DE13BA">
              <w:rPr>
                <w:rFonts w:cs="Arial"/>
                <w:sz w:val="20"/>
                <w:szCs w:val="20"/>
              </w:rPr>
              <w:t xml:space="preserve">ld awareness of our services.  </w:t>
            </w:r>
          </w:p>
          <w:p w14:paraId="1FBB0B71" w14:textId="383633D1" w:rsidR="00A424CD" w:rsidRDefault="00DE13BA" w:rsidP="00164DFE">
            <w:pPr>
              <w:spacing w:before="240"/>
              <w:rPr>
                <w:rFonts w:cs="Arial"/>
                <w:sz w:val="20"/>
                <w:szCs w:val="20"/>
              </w:rPr>
            </w:pPr>
            <w:r>
              <w:rPr>
                <w:rFonts w:cs="Arial"/>
                <w:sz w:val="20"/>
                <w:szCs w:val="20"/>
              </w:rPr>
              <w:t>This year we continued to offer the SMARTstart program</w:t>
            </w:r>
            <w:r w:rsidR="00C1458A">
              <w:rPr>
                <w:rFonts w:cs="Arial"/>
                <w:sz w:val="20"/>
                <w:szCs w:val="20"/>
              </w:rPr>
              <w:t>, an 8 month entrepreneur program that provides the three main elements being online business training</w:t>
            </w:r>
            <w:r w:rsidR="0007795D">
              <w:rPr>
                <w:rFonts w:cs="Arial"/>
                <w:sz w:val="20"/>
                <w:szCs w:val="20"/>
              </w:rPr>
              <w:t xml:space="preserve"> through GoForth, in person workshops, and mentorship.  This program </w:t>
            </w:r>
            <w:r w:rsidR="004C13F3">
              <w:rPr>
                <w:rFonts w:cs="Arial"/>
                <w:sz w:val="20"/>
                <w:szCs w:val="20"/>
              </w:rPr>
              <w:t>continued to grow in its second year with an increase of 50% participation</w:t>
            </w:r>
            <w:r w:rsidR="005A4E0F">
              <w:rPr>
                <w:rFonts w:cs="Arial"/>
                <w:sz w:val="20"/>
                <w:szCs w:val="20"/>
              </w:rPr>
              <w:t xml:space="preserve">.  The workshops continued to </w:t>
            </w:r>
            <w:r w:rsidR="00901AC6">
              <w:rPr>
                <w:rFonts w:cs="Arial"/>
                <w:sz w:val="20"/>
                <w:szCs w:val="20"/>
              </w:rPr>
              <w:t xml:space="preserve">focus on dealing with every aspect of running a business from </w:t>
            </w:r>
            <w:r w:rsidR="00B7604D">
              <w:rPr>
                <w:rFonts w:cs="Arial"/>
                <w:sz w:val="20"/>
                <w:szCs w:val="20"/>
              </w:rPr>
              <w:t>accounting, marketing, bookkeeping, business planning, insurance, etc.</w:t>
            </w:r>
            <w:r w:rsidR="00B56986">
              <w:rPr>
                <w:rFonts w:cs="Arial"/>
                <w:sz w:val="20"/>
                <w:szCs w:val="20"/>
              </w:rPr>
              <w:t xml:space="preserve">  The program was sponsored and supported by the municipalities in the area</w:t>
            </w:r>
            <w:r w:rsidR="00BC788B">
              <w:rPr>
                <w:rFonts w:cs="Arial"/>
                <w:sz w:val="20"/>
                <w:szCs w:val="20"/>
              </w:rPr>
              <w:t>, ECARIN,</w:t>
            </w:r>
            <w:r w:rsidR="00B37F81">
              <w:rPr>
                <w:rFonts w:cs="Arial"/>
                <w:sz w:val="20"/>
                <w:szCs w:val="20"/>
              </w:rPr>
              <w:t xml:space="preserve"> several local businesses and over 11 </w:t>
            </w:r>
            <w:r w:rsidR="00A424CD">
              <w:rPr>
                <w:rFonts w:cs="Arial"/>
                <w:sz w:val="20"/>
                <w:szCs w:val="20"/>
              </w:rPr>
              <w:t xml:space="preserve">participating </w:t>
            </w:r>
            <w:r w:rsidR="00B37F81">
              <w:rPr>
                <w:rFonts w:cs="Arial"/>
                <w:sz w:val="20"/>
                <w:szCs w:val="20"/>
              </w:rPr>
              <w:t>entrepreneurs</w:t>
            </w:r>
            <w:r w:rsidR="00A424CD">
              <w:rPr>
                <w:rFonts w:cs="Arial"/>
                <w:sz w:val="20"/>
                <w:szCs w:val="20"/>
              </w:rPr>
              <w:t xml:space="preserve"> along with their local business mentors.  We are excited to offer this program for the third </w:t>
            </w:r>
            <w:r w:rsidR="009B1345">
              <w:rPr>
                <w:rFonts w:cs="Arial"/>
                <w:sz w:val="20"/>
                <w:szCs w:val="20"/>
              </w:rPr>
              <w:t>session this fall.</w:t>
            </w:r>
            <w:r w:rsidR="00771DE7">
              <w:rPr>
                <w:rFonts w:cs="Arial"/>
                <w:sz w:val="20"/>
                <w:szCs w:val="20"/>
              </w:rPr>
              <w:t xml:space="preserve"> </w:t>
            </w:r>
          </w:p>
          <w:p w14:paraId="0CAE3B3F" w14:textId="77777777" w:rsidR="00F72AF6" w:rsidRDefault="009B1345" w:rsidP="00164DFE">
            <w:pPr>
              <w:spacing w:before="240"/>
              <w:rPr>
                <w:rFonts w:cs="Arial"/>
                <w:bCs/>
                <w:sz w:val="20"/>
                <w:szCs w:val="20"/>
              </w:rPr>
            </w:pPr>
            <w:r>
              <w:rPr>
                <w:rFonts w:cs="Arial"/>
                <w:sz w:val="20"/>
                <w:szCs w:val="20"/>
              </w:rPr>
              <w:t xml:space="preserve">Some of the other projects that we worked on this </w:t>
            </w:r>
            <w:r w:rsidR="009F35F0">
              <w:rPr>
                <w:rFonts w:cs="Arial"/>
                <w:sz w:val="20"/>
                <w:szCs w:val="20"/>
              </w:rPr>
              <w:t>year was</w:t>
            </w:r>
            <w:r>
              <w:rPr>
                <w:rFonts w:cs="Arial"/>
                <w:sz w:val="20"/>
                <w:szCs w:val="20"/>
              </w:rPr>
              <w:t xml:space="preserve"> Economic </w:t>
            </w:r>
            <w:r w:rsidR="002458AA">
              <w:rPr>
                <w:rFonts w:cs="Arial"/>
                <w:sz w:val="20"/>
                <w:szCs w:val="20"/>
              </w:rPr>
              <w:t>development strategy planning through the Regional Economic Information Partnership (REIP)</w:t>
            </w:r>
            <w:r w:rsidR="008356A0">
              <w:rPr>
                <w:rFonts w:cs="Arial"/>
                <w:sz w:val="20"/>
                <w:szCs w:val="20"/>
              </w:rPr>
              <w:t xml:space="preserve">, Chamber of Commerce events including Business of the Year Awards and Feast at the Beach.  </w:t>
            </w:r>
            <w:r w:rsidR="009F35F0">
              <w:rPr>
                <w:rFonts w:cs="Arial"/>
                <w:sz w:val="20"/>
                <w:szCs w:val="20"/>
              </w:rPr>
              <w:t xml:space="preserve">We also were able to offer the Beautification Loan Program </w:t>
            </w:r>
            <w:r w:rsidR="00960407">
              <w:rPr>
                <w:rFonts w:cs="Arial"/>
                <w:sz w:val="20"/>
                <w:szCs w:val="20"/>
              </w:rPr>
              <w:t>with the partnership of the Town of Bonnyville</w:t>
            </w:r>
            <w:r w:rsidR="00E5516E">
              <w:rPr>
                <w:rFonts w:cs="Arial"/>
                <w:sz w:val="20"/>
                <w:szCs w:val="20"/>
              </w:rPr>
              <w:t xml:space="preserve"> and we are excited to continue to offer this program.  We also continue to participate in the Cold Lake Economic Development Activity Committee (EDAC), Open Farm Days, </w:t>
            </w:r>
            <w:r w:rsidR="00771DE7">
              <w:rPr>
                <w:rFonts w:cs="Arial"/>
                <w:sz w:val="20"/>
                <w:szCs w:val="20"/>
              </w:rPr>
              <w:t>Connect For Food, and many training workshops.</w:t>
            </w:r>
            <w:r w:rsidR="00D63025">
              <w:rPr>
                <w:rFonts w:cs="Arial"/>
                <w:bCs/>
                <w:sz w:val="20"/>
                <w:szCs w:val="20"/>
              </w:rPr>
              <w:t xml:space="preserve">   </w:t>
            </w:r>
          </w:p>
          <w:p w14:paraId="717EE2BE" w14:textId="1AE98C0B" w:rsidR="009B1345" w:rsidRDefault="00D63025" w:rsidP="00164DFE">
            <w:pPr>
              <w:spacing w:before="240"/>
              <w:rPr>
                <w:rFonts w:cs="Arial"/>
                <w:sz w:val="20"/>
                <w:szCs w:val="20"/>
              </w:rPr>
            </w:pPr>
            <w:r>
              <w:rPr>
                <w:rFonts w:cs="Arial"/>
                <w:bCs/>
                <w:sz w:val="20"/>
                <w:szCs w:val="20"/>
              </w:rPr>
              <w:lastRenderedPageBreak/>
              <w:t>We have worked hard to be a good partner and have established excellent relationships locally through our business community, Chambers of Commerce, Municipalities, as well as regionally through our NE Alberta Community Futures, GOA provincial partners, Portage College, Alberta HUB, East Central Regional Innovation Network (ECARIN) and Indigenous partnerships.  We look forward to a new year of providing business services and economic development in the Lakeland</w:t>
            </w:r>
            <w:r w:rsidR="00F72AF6">
              <w:rPr>
                <w:rFonts w:cs="Arial"/>
                <w:bCs/>
                <w:sz w:val="20"/>
                <w:szCs w:val="20"/>
              </w:rPr>
              <w:t xml:space="preserve"> area.</w:t>
            </w:r>
          </w:p>
          <w:p w14:paraId="248E165C" w14:textId="77777777" w:rsidR="00F609C9" w:rsidRDefault="00F609C9" w:rsidP="00164DFE">
            <w:pPr>
              <w:spacing w:before="240"/>
              <w:rPr>
                <w:rFonts w:cs="Arial"/>
                <w:sz w:val="20"/>
                <w:szCs w:val="20"/>
              </w:rPr>
            </w:pPr>
          </w:p>
        </w:tc>
      </w:tr>
    </w:tbl>
    <w:p w14:paraId="661A9A31" w14:textId="77777777" w:rsidR="00F105C2" w:rsidRDefault="00F105C2" w:rsidP="00476214">
      <w:pPr>
        <w:spacing w:before="240"/>
        <w:rPr>
          <w:rFonts w:cs="Arial"/>
          <w:b/>
          <w:i/>
          <w:sz w:val="24"/>
          <w:szCs w:val="20"/>
          <w:u w:val="single"/>
        </w:rPr>
      </w:pPr>
    </w:p>
    <w:sectPr w:rsidR="00F105C2" w:rsidSect="00A65AA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A7E1F" w14:textId="77777777" w:rsidR="00406262" w:rsidRDefault="00406262" w:rsidP="00CC123A">
      <w:pPr>
        <w:spacing w:after="0" w:line="240" w:lineRule="auto"/>
      </w:pPr>
      <w:r>
        <w:separator/>
      </w:r>
    </w:p>
  </w:endnote>
  <w:endnote w:type="continuationSeparator" w:id="0">
    <w:p w14:paraId="7E580B6B" w14:textId="77777777" w:rsidR="00406262" w:rsidRDefault="00406262" w:rsidP="00C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3F2AD" w14:textId="77777777" w:rsidR="00590A1D" w:rsidRDefault="00590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B3B88" w14:textId="77777777" w:rsidR="00590A1D" w:rsidRDefault="00590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1E892" w14:textId="77777777" w:rsidR="00590A1D" w:rsidRDefault="00590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7ADB8" w14:textId="77777777" w:rsidR="00406262" w:rsidRDefault="00406262" w:rsidP="00CC123A">
      <w:pPr>
        <w:spacing w:after="0" w:line="240" w:lineRule="auto"/>
      </w:pPr>
      <w:r>
        <w:separator/>
      </w:r>
    </w:p>
  </w:footnote>
  <w:footnote w:type="continuationSeparator" w:id="0">
    <w:p w14:paraId="4247E647" w14:textId="77777777" w:rsidR="00406262" w:rsidRDefault="00406262" w:rsidP="00CC123A">
      <w:pPr>
        <w:spacing w:after="0" w:line="240" w:lineRule="auto"/>
      </w:pPr>
      <w:r>
        <w:continuationSeparator/>
      </w:r>
    </w:p>
  </w:footnote>
  <w:footnote w:id="1">
    <w:p w14:paraId="65946181" w14:textId="77777777" w:rsidR="004E0068" w:rsidRPr="004E0068" w:rsidRDefault="004E0068">
      <w:pPr>
        <w:pStyle w:val="FootnoteText"/>
        <w:rPr>
          <w:lang w:val="en-US"/>
        </w:rPr>
      </w:pPr>
      <w:r>
        <w:rPr>
          <w:rStyle w:val="FootnoteReference"/>
        </w:rPr>
        <w:footnoteRef/>
      </w:r>
      <w:r>
        <w:t xml:space="preserve"> </w:t>
      </w:r>
      <w:r>
        <w:rPr>
          <w:lang w:val="en-US"/>
        </w:rPr>
        <w:t>Estimated at the time of lending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BA5C" w14:textId="77777777" w:rsidR="00590A1D" w:rsidRDefault="00590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5CC2" w14:textId="77777777" w:rsidR="00590A1D" w:rsidRDefault="00590A1D" w:rsidP="00590A1D">
    <w:pPr>
      <w:keepNext/>
      <w:keepLines/>
      <w:tabs>
        <w:tab w:val="left" w:pos="6024"/>
        <w:tab w:val="left" w:pos="7159"/>
      </w:tabs>
      <w:autoSpaceDE w:val="0"/>
      <w:autoSpaceDN w:val="0"/>
      <w:adjustRightInd w:val="0"/>
      <w:jc w:val="center"/>
      <w:rPr>
        <w:rFonts w:cs="Arial"/>
        <w:b/>
        <w:sz w:val="20"/>
        <w:szCs w:val="20"/>
      </w:rPr>
    </w:pPr>
    <w:r>
      <w:t xml:space="preserve">Performance Results for 2023-24   </w:t>
    </w:r>
    <w:r>
      <w:rPr>
        <w:u w:val="single"/>
      </w:rPr>
      <w:t>Community Futures Lakeland</w:t>
    </w:r>
  </w:p>
  <w:p w14:paraId="4029F72E" w14:textId="6A1157E2" w:rsidR="00CC123A" w:rsidRPr="00590A1D" w:rsidRDefault="00CC123A" w:rsidP="00590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A89E" w14:textId="2935503E" w:rsidR="00903BAE" w:rsidRDefault="002F0A60" w:rsidP="00903BAE">
    <w:pPr>
      <w:keepNext/>
      <w:keepLines/>
      <w:tabs>
        <w:tab w:val="left" w:pos="6024"/>
        <w:tab w:val="left" w:pos="7159"/>
      </w:tabs>
      <w:autoSpaceDE w:val="0"/>
      <w:autoSpaceDN w:val="0"/>
      <w:adjustRightInd w:val="0"/>
      <w:jc w:val="center"/>
      <w:rPr>
        <w:rFonts w:cs="Arial"/>
        <w:b/>
        <w:sz w:val="20"/>
        <w:szCs w:val="20"/>
      </w:rPr>
    </w:pPr>
    <w:r>
      <w:t>Performance Results for 20</w:t>
    </w:r>
    <w:r w:rsidR="001048DF">
      <w:t>2</w:t>
    </w:r>
    <w:r w:rsidR="00B91766">
      <w:t>3</w:t>
    </w:r>
    <w:r>
      <w:t>-</w:t>
    </w:r>
    <w:r w:rsidR="00D97949">
      <w:t>2</w:t>
    </w:r>
    <w:r w:rsidR="00B91766">
      <w:t>4</w:t>
    </w:r>
    <w:r w:rsidR="00A9055B">
      <w:t xml:space="preserve">   </w:t>
    </w:r>
    <w:r w:rsidR="00013A83">
      <w:rPr>
        <w:u w:val="single"/>
      </w:rPr>
      <w:t>Community Futures Lakeland</w:t>
    </w:r>
  </w:p>
  <w:p w14:paraId="3B696F3E" w14:textId="77777777" w:rsidR="00A9055B" w:rsidRPr="00855202" w:rsidRDefault="00855202" w:rsidP="00855202">
    <w:pPr>
      <w:spacing w:line="240" w:lineRule="auto"/>
      <w:rPr>
        <w:sz w:val="18"/>
        <w:u w:val="single"/>
      </w:rPr>
    </w:pPr>
    <w:r w:rsidRPr="00855202">
      <w:rPr>
        <w:sz w:val="20"/>
        <w:lang w:val="en-GB"/>
      </w:rPr>
      <w:t xml:space="preserve">Community Futures (CF) is a program that supports community economic development and builds the capacity of communities to realize their full sustainable potential.  The purpose of the CF Program is to help communities develop and implement </w:t>
    </w:r>
    <w:r w:rsidRPr="00855202">
      <w:rPr>
        <w:i/>
        <w:iCs/>
        <w:sz w:val="20"/>
        <w:lang w:val="en-GB"/>
      </w:rPr>
      <w:t>local solutions to local problems</w:t>
    </w:r>
    <w:r w:rsidRPr="00855202">
      <w:rPr>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B03A4"/>
    <w:multiLevelType w:val="hybridMultilevel"/>
    <w:tmpl w:val="73DE88F8"/>
    <w:lvl w:ilvl="0" w:tplc="7B40C0A0">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209E2"/>
    <w:multiLevelType w:val="hybridMultilevel"/>
    <w:tmpl w:val="1ED4F5FC"/>
    <w:lvl w:ilvl="0" w:tplc="55C613EC">
      <w:start w:val="1"/>
      <w:numFmt w:val="decimal"/>
      <w:lvlText w:val="%1."/>
      <w:lvlJc w:val="left"/>
      <w:pPr>
        <w:ind w:left="1440" w:hanging="360"/>
      </w:pPr>
      <w:rPr>
        <w:b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1C633E36"/>
    <w:multiLevelType w:val="hybridMultilevel"/>
    <w:tmpl w:val="150A8936"/>
    <w:lvl w:ilvl="0" w:tplc="AEB62574">
      <w:start w:val="1"/>
      <w:numFmt w:val="decimal"/>
      <w:lvlText w:val="%1."/>
      <w:lvlJc w:val="left"/>
      <w:pPr>
        <w:ind w:left="720" w:hanging="360"/>
      </w:pPr>
      <w:rPr>
        <w:color w:val="000000" w:themeColor="text1"/>
        <w:lang w:val="en-US"/>
      </w:rPr>
    </w:lvl>
    <w:lvl w:ilvl="1" w:tplc="435CACC4">
      <w:numFmt w:val="bullet"/>
      <w:lvlText w:val="•"/>
      <w:lvlJc w:val="left"/>
      <w:pPr>
        <w:ind w:left="1440" w:hanging="360"/>
      </w:pPr>
      <w:rPr>
        <w:rFonts w:ascii="Calibri" w:eastAsiaTheme="minorHAnsi" w:hAnsi="Calibri" w:cstheme="min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330631B"/>
    <w:multiLevelType w:val="hybridMultilevel"/>
    <w:tmpl w:val="A8FECB1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3543079C"/>
    <w:multiLevelType w:val="hybridMultilevel"/>
    <w:tmpl w:val="2072F844"/>
    <w:lvl w:ilvl="0" w:tplc="1009000F">
      <w:start w:val="1"/>
      <w:numFmt w:val="decimal"/>
      <w:lvlText w:val="%1."/>
      <w:lvlJc w:val="left"/>
      <w:pPr>
        <w:ind w:left="937" w:hanging="360"/>
      </w:pPr>
    </w:lvl>
    <w:lvl w:ilvl="1" w:tplc="10090019" w:tentative="1">
      <w:start w:val="1"/>
      <w:numFmt w:val="lowerLetter"/>
      <w:lvlText w:val="%2."/>
      <w:lvlJc w:val="left"/>
      <w:pPr>
        <w:ind w:left="1657" w:hanging="360"/>
      </w:pPr>
    </w:lvl>
    <w:lvl w:ilvl="2" w:tplc="1009001B" w:tentative="1">
      <w:start w:val="1"/>
      <w:numFmt w:val="lowerRoman"/>
      <w:lvlText w:val="%3."/>
      <w:lvlJc w:val="right"/>
      <w:pPr>
        <w:ind w:left="2377" w:hanging="180"/>
      </w:pPr>
    </w:lvl>
    <w:lvl w:ilvl="3" w:tplc="1009000F" w:tentative="1">
      <w:start w:val="1"/>
      <w:numFmt w:val="decimal"/>
      <w:lvlText w:val="%4."/>
      <w:lvlJc w:val="left"/>
      <w:pPr>
        <w:ind w:left="3097" w:hanging="360"/>
      </w:pPr>
    </w:lvl>
    <w:lvl w:ilvl="4" w:tplc="10090019" w:tentative="1">
      <w:start w:val="1"/>
      <w:numFmt w:val="lowerLetter"/>
      <w:lvlText w:val="%5."/>
      <w:lvlJc w:val="left"/>
      <w:pPr>
        <w:ind w:left="3817" w:hanging="360"/>
      </w:pPr>
    </w:lvl>
    <w:lvl w:ilvl="5" w:tplc="1009001B" w:tentative="1">
      <w:start w:val="1"/>
      <w:numFmt w:val="lowerRoman"/>
      <w:lvlText w:val="%6."/>
      <w:lvlJc w:val="right"/>
      <w:pPr>
        <w:ind w:left="4537" w:hanging="180"/>
      </w:pPr>
    </w:lvl>
    <w:lvl w:ilvl="6" w:tplc="1009000F" w:tentative="1">
      <w:start w:val="1"/>
      <w:numFmt w:val="decimal"/>
      <w:lvlText w:val="%7."/>
      <w:lvlJc w:val="left"/>
      <w:pPr>
        <w:ind w:left="5257" w:hanging="360"/>
      </w:pPr>
    </w:lvl>
    <w:lvl w:ilvl="7" w:tplc="10090019" w:tentative="1">
      <w:start w:val="1"/>
      <w:numFmt w:val="lowerLetter"/>
      <w:lvlText w:val="%8."/>
      <w:lvlJc w:val="left"/>
      <w:pPr>
        <w:ind w:left="5977" w:hanging="360"/>
      </w:pPr>
    </w:lvl>
    <w:lvl w:ilvl="8" w:tplc="1009001B" w:tentative="1">
      <w:start w:val="1"/>
      <w:numFmt w:val="lowerRoman"/>
      <w:lvlText w:val="%9."/>
      <w:lvlJc w:val="right"/>
      <w:pPr>
        <w:ind w:left="6697" w:hanging="180"/>
      </w:pPr>
    </w:lvl>
  </w:abstractNum>
  <w:abstractNum w:abstractNumId="5" w15:restartNumberingAfterBreak="0">
    <w:nsid w:val="3D98274A"/>
    <w:multiLevelType w:val="hybridMultilevel"/>
    <w:tmpl w:val="ED3471B8"/>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C30219D"/>
    <w:multiLevelType w:val="hybridMultilevel"/>
    <w:tmpl w:val="640E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66B1203"/>
    <w:multiLevelType w:val="hybridMultilevel"/>
    <w:tmpl w:val="41C461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DDA38B4"/>
    <w:multiLevelType w:val="hybridMultilevel"/>
    <w:tmpl w:val="32428F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EC628D4"/>
    <w:multiLevelType w:val="hybridMultilevel"/>
    <w:tmpl w:val="793ECCB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F063406"/>
    <w:multiLevelType w:val="hybridMultilevel"/>
    <w:tmpl w:val="D07CB9B6"/>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71044A"/>
    <w:multiLevelType w:val="hybridMultilevel"/>
    <w:tmpl w:val="995A9550"/>
    <w:lvl w:ilvl="0" w:tplc="BC4AEB10">
      <w:start w:val="1"/>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4AB17C9"/>
    <w:multiLevelType w:val="multilevel"/>
    <w:tmpl w:val="79C2AE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F27EC2"/>
    <w:multiLevelType w:val="hybridMultilevel"/>
    <w:tmpl w:val="9D5095DE"/>
    <w:lvl w:ilvl="0" w:tplc="1009001B">
      <w:start w:val="1"/>
      <w:numFmt w:val="lowerRoman"/>
      <w:lvlText w:val="%1."/>
      <w:lvlJc w:val="righ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0555568">
    <w:abstractNumId w:val="0"/>
  </w:num>
  <w:num w:numId="2" w16cid:durableId="1880701032">
    <w:abstractNumId w:val="11"/>
  </w:num>
  <w:num w:numId="3" w16cid:durableId="161939543">
    <w:abstractNumId w:val="2"/>
  </w:num>
  <w:num w:numId="4" w16cid:durableId="771438517">
    <w:abstractNumId w:val="3"/>
  </w:num>
  <w:num w:numId="5" w16cid:durableId="724913024">
    <w:abstractNumId w:val="10"/>
  </w:num>
  <w:num w:numId="6" w16cid:durableId="1747268389">
    <w:abstractNumId w:val="13"/>
  </w:num>
  <w:num w:numId="7" w16cid:durableId="1280844316">
    <w:abstractNumId w:val="7"/>
  </w:num>
  <w:num w:numId="8" w16cid:durableId="737634763">
    <w:abstractNumId w:val="5"/>
  </w:num>
  <w:num w:numId="9" w16cid:durableId="1280992610">
    <w:abstractNumId w:val="4"/>
  </w:num>
  <w:num w:numId="10" w16cid:durableId="9257713">
    <w:abstractNumId w:val="9"/>
  </w:num>
  <w:num w:numId="11" w16cid:durableId="1523124897">
    <w:abstractNumId w:val="1"/>
  </w:num>
  <w:num w:numId="12" w16cid:durableId="1532036202">
    <w:abstractNumId w:val="12"/>
  </w:num>
  <w:num w:numId="13" w16cid:durableId="1147085122">
    <w:abstractNumId w:val="6"/>
  </w:num>
  <w:num w:numId="14" w16cid:durableId="814877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23A"/>
    <w:rsid w:val="000032F8"/>
    <w:rsid w:val="00013A83"/>
    <w:rsid w:val="00042B8D"/>
    <w:rsid w:val="000740AC"/>
    <w:rsid w:val="0007795D"/>
    <w:rsid w:val="00095AFB"/>
    <w:rsid w:val="000A68DF"/>
    <w:rsid w:val="000E3BEA"/>
    <w:rsid w:val="000E446D"/>
    <w:rsid w:val="000F1E3F"/>
    <w:rsid w:val="000F794C"/>
    <w:rsid w:val="001048DF"/>
    <w:rsid w:val="00124D7E"/>
    <w:rsid w:val="001365E0"/>
    <w:rsid w:val="00136C60"/>
    <w:rsid w:val="00164DFE"/>
    <w:rsid w:val="001A0388"/>
    <w:rsid w:val="001A55FE"/>
    <w:rsid w:val="001A5D7A"/>
    <w:rsid w:val="001F63A6"/>
    <w:rsid w:val="0020118B"/>
    <w:rsid w:val="00204964"/>
    <w:rsid w:val="0022039D"/>
    <w:rsid w:val="002458AA"/>
    <w:rsid w:val="002733B9"/>
    <w:rsid w:val="002B1845"/>
    <w:rsid w:val="002F0A60"/>
    <w:rsid w:val="00305D11"/>
    <w:rsid w:val="00326C17"/>
    <w:rsid w:val="00352DD5"/>
    <w:rsid w:val="00370843"/>
    <w:rsid w:val="00387C16"/>
    <w:rsid w:val="003B364D"/>
    <w:rsid w:val="003D46F2"/>
    <w:rsid w:val="003D6046"/>
    <w:rsid w:val="003E2596"/>
    <w:rsid w:val="00406262"/>
    <w:rsid w:val="00416424"/>
    <w:rsid w:val="00435FD8"/>
    <w:rsid w:val="00463FCE"/>
    <w:rsid w:val="004707C8"/>
    <w:rsid w:val="00476214"/>
    <w:rsid w:val="004B2ABF"/>
    <w:rsid w:val="004C13F3"/>
    <w:rsid w:val="004E0068"/>
    <w:rsid w:val="00524D65"/>
    <w:rsid w:val="00535C65"/>
    <w:rsid w:val="0055116A"/>
    <w:rsid w:val="0056519D"/>
    <w:rsid w:val="00590A1D"/>
    <w:rsid w:val="005A4E0F"/>
    <w:rsid w:val="005B4F9A"/>
    <w:rsid w:val="005C3625"/>
    <w:rsid w:val="0061366E"/>
    <w:rsid w:val="00614CA8"/>
    <w:rsid w:val="0063129F"/>
    <w:rsid w:val="00637BD2"/>
    <w:rsid w:val="006803E1"/>
    <w:rsid w:val="006C2CCB"/>
    <w:rsid w:val="006C565E"/>
    <w:rsid w:val="006C618A"/>
    <w:rsid w:val="006F52BA"/>
    <w:rsid w:val="006F5326"/>
    <w:rsid w:val="00716865"/>
    <w:rsid w:val="00716BF1"/>
    <w:rsid w:val="00721398"/>
    <w:rsid w:val="0074505F"/>
    <w:rsid w:val="00771DE7"/>
    <w:rsid w:val="00790628"/>
    <w:rsid w:val="008070B2"/>
    <w:rsid w:val="008356A0"/>
    <w:rsid w:val="00855202"/>
    <w:rsid w:val="00873E59"/>
    <w:rsid w:val="00876ADF"/>
    <w:rsid w:val="008835BB"/>
    <w:rsid w:val="008B0CCB"/>
    <w:rsid w:val="008B2F09"/>
    <w:rsid w:val="008F7F84"/>
    <w:rsid w:val="00901AC6"/>
    <w:rsid w:val="00903BAE"/>
    <w:rsid w:val="0090536B"/>
    <w:rsid w:val="009212B6"/>
    <w:rsid w:val="00960407"/>
    <w:rsid w:val="00971204"/>
    <w:rsid w:val="00990CEC"/>
    <w:rsid w:val="009B1345"/>
    <w:rsid w:val="009C6B0E"/>
    <w:rsid w:val="009F35F0"/>
    <w:rsid w:val="009F415F"/>
    <w:rsid w:val="00A424CD"/>
    <w:rsid w:val="00A57ABB"/>
    <w:rsid w:val="00A65AAC"/>
    <w:rsid w:val="00A9055B"/>
    <w:rsid w:val="00AD3AAD"/>
    <w:rsid w:val="00AE6736"/>
    <w:rsid w:val="00B069C6"/>
    <w:rsid w:val="00B3074E"/>
    <w:rsid w:val="00B37F81"/>
    <w:rsid w:val="00B56986"/>
    <w:rsid w:val="00B65BB9"/>
    <w:rsid w:val="00B7604D"/>
    <w:rsid w:val="00B83988"/>
    <w:rsid w:val="00B86B60"/>
    <w:rsid w:val="00B91766"/>
    <w:rsid w:val="00BB1612"/>
    <w:rsid w:val="00BC788B"/>
    <w:rsid w:val="00BD0981"/>
    <w:rsid w:val="00BE6567"/>
    <w:rsid w:val="00C06A6C"/>
    <w:rsid w:val="00C1458A"/>
    <w:rsid w:val="00C7787C"/>
    <w:rsid w:val="00C85229"/>
    <w:rsid w:val="00C861C1"/>
    <w:rsid w:val="00CC123A"/>
    <w:rsid w:val="00CD3E18"/>
    <w:rsid w:val="00CE1F1B"/>
    <w:rsid w:val="00D011D2"/>
    <w:rsid w:val="00D01222"/>
    <w:rsid w:val="00D262DF"/>
    <w:rsid w:val="00D27BC2"/>
    <w:rsid w:val="00D63025"/>
    <w:rsid w:val="00D67217"/>
    <w:rsid w:val="00D97949"/>
    <w:rsid w:val="00DC13BA"/>
    <w:rsid w:val="00DE13BA"/>
    <w:rsid w:val="00E347D4"/>
    <w:rsid w:val="00E351D5"/>
    <w:rsid w:val="00E361E6"/>
    <w:rsid w:val="00E514E4"/>
    <w:rsid w:val="00E53E38"/>
    <w:rsid w:val="00E5516E"/>
    <w:rsid w:val="00E72307"/>
    <w:rsid w:val="00E81EA2"/>
    <w:rsid w:val="00E9578A"/>
    <w:rsid w:val="00EB684E"/>
    <w:rsid w:val="00EC74F0"/>
    <w:rsid w:val="00EE3D7E"/>
    <w:rsid w:val="00F019C9"/>
    <w:rsid w:val="00F105C2"/>
    <w:rsid w:val="00F40352"/>
    <w:rsid w:val="00F464A9"/>
    <w:rsid w:val="00F609C9"/>
    <w:rsid w:val="00F72AF6"/>
    <w:rsid w:val="00FA471E"/>
    <w:rsid w:val="00FE58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A5987"/>
  <w15:docId w15:val="{54ABAEC8-1A74-4509-B4A0-670D9102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1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23A"/>
    <w:rPr>
      <w:rFonts w:ascii="Tahoma" w:hAnsi="Tahoma" w:cs="Tahoma"/>
      <w:sz w:val="16"/>
      <w:szCs w:val="16"/>
    </w:rPr>
  </w:style>
  <w:style w:type="paragraph" w:styleId="Header">
    <w:name w:val="header"/>
    <w:basedOn w:val="Normal"/>
    <w:link w:val="HeaderChar"/>
    <w:uiPriority w:val="99"/>
    <w:unhideWhenUsed/>
    <w:rsid w:val="00C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23A"/>
  </w:style>
  <w:style w:type="paragraph" w:styleId="Footer">
    <w:name w:val="footer"/>
    <w:basedOn w:val="Normal"/>
    <w:link w:val="FooterChar"/>
    <w:uiPriority w:val="99"/>
    <w:unhideWhenUsed/>
    <w:rsid w:val="00CC1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23A"/>
  </w:style>
  <w:style w:type="paragraph" w:styleId="ListParagraph">
    <w:name w:val="List Paragraph"/>
    <w:basedOn w:val="Normal"/>
    <w:uiPriority w:val="34"/>
    <w:qFormat/>
    <w:rsid w:val="008F7F84"/>
    <w:pPr>
      <w:ind w:left="720"/>
      <w:contextualSpacing/>
    </w:pPr>
  </w:style>
  <w:style w:type="paragraph" w:customStyle="1" w:styleId="Default">
    <w:name w:val="Default"/>
    <w:rsid w:val="008F7F84"/>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table" w:styleId="TableGrid">
    <w:name w:val="Table Grid"/>
    <w:basedOn w:val="TableNormal"/>
    <w:uiPriority w:val="59"/>
    <w:rsid w:val="00F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855202"/>
    <w:pPr>
      <w:overflowPunct w:val="0"/>
      <w:autoSpaceDE w:val="0"/>
      <w:autoSpaceDN w:val="0"/>
      <w:adjustRightInd w:val="0"/>
      <w:spacing w:after="0" w:line="240" w:lineRule="auto"/>
      <w:textAlignment w:val="baseline"/>
    </w:pPr>
    <w:rPr>
      <w:rFonts w:ascii="Arial" w:eastAsia="Times New Roman" w:hAnsi="Arial" w:cs="Arial"/>
      <w:sz w:val="24"/>
      <w:szCs w:val="20"/>
      <w:lang w:val="en-US"/>
    </w:rPr>
  </w:style>
  <w:style w:type="character" w:customStyle="1" w:styleId="BodyText2Char">
    <w:name w:val="Body Text 2 Char"/>
    <w:basedOn w:val="DefaultParagraphFont"/>
    <w:link w:val="BodyText2"/>
    <w:semiHidden/>
    <w:rsid w:val="00855202"/>
    <w:rPr>
      <w:rFonts w:ascii="Arial" w:eastAsia="Times New Roman" w:hAnsi="Arial" w:cs="Arial"/>
      <w:sz w:val="24"/>
      <w:szCs w:val="20"/>
      <w:lang w:val="en-US"/>
    </w:rPr>
  </w:style>
  <w:style w:type="character" w:styleId="CommentReference">
    <w:name w:val="annotation reference"/>
    <w:basedOn w:val="DefaultParagraphFont"/>
    <w:uiPriority w:val="99"/>
    <w:semiHidden/>
    <w:unhideWhenUsed/>
    <w:rsid w:val="00855202"/>
    <w:rPr>
      <w:sz w:val="16"/>
      <w:szCs w:val="16"/>
    </w:rPr>
  </w:style>
  <w:style w:type="paragraph" w:styleId="CommentText">
    <w:name w:val="annotation text"/>
    <w:basedOn w:val="Normal"/>
    <w:link w:val="CommentTextChar"/>
    <w:uiPriority w:val="99"/>
    <w:semiHidden/>
    <w:unhideWhenUsed/>
    <w:rsid w:val="00855202"/>
    <w:pPr>
      <w:spacing w:line="240" w:lineRule="auto"/>
    </w:pPr>
    <w:rPr>
      <w:sz w:val="20"/>
      <w:szCs w:val="20"/>
    </w:rPr>
  </w:style>
  <w:style w:type="character" w:customStyle="1" w:styleId="CommentTextChar">
    <w:name w:val="Comment Text Char"/>
    <w:basedOn w:val="DefaultParagraphFont"/>
    <w:link w:val="CommentText"/>
    <w:uiPriority w:val="99"/>
    <w:semiHidden/>
    <w:rsid w:val="00855202"/>
    <w:rPr>
      <w:sz w:val="20"/>
      <w:szCs w:val="20"/>
    </w:rPr>
  </w:style>
  <w:style w:type="paragraph" w:styleId="CommentSubject">
    <w:name w:val="annotation subject"/>
    <w:basedOn w:val="CommentText"/>
    <w:next w:val="CommentText"/>
    <w:link w:val="CommentSubjectChar"/>
    <w:uiPriority w:val="99"/>
    <w:semiHidden/>
    <w:unhideWhenUsed/>
    <w:rsid w:val="00855202"/>
    <w:rPr>
      <w:b/>
      <w:bCs/>
    </w:rPr>
  </w:style>
  <w:style w:type="character" w:customStyle="1" w:styleId="CommentSubjectChar">
    <w:name w:val="Comment Subject Char"/>
    <w:basedOn w:val="CommentTextChar"/>
    <w:link w:val="CommentSubject"/>
    <w:uiPriority w:val="99"/>
    <w:semiHidden/>
    <w:rsid w:val="00855202"/>
    <w:rPr>
      <w:b/>
      <w:bCs/>
      <w:sz w:val="20"/>
      <w:szCs w:val="20"/>
    </w:rPr>
  </w:style>
  <w:style w:type="character" w:styleId="Hyperlink">
    <w:name w:val="Hyperlink"/>
    <w:basedOn w:val="DefaultParagraphFont"/>
    <w:uiPriority w:val="99"/>
    <w:unhideWhenUsed/>
    <w:rsid w:val="000A68DF"/>
    <w:rPr>
      <w:color w:val="0000FF" w:themeColor="hyperlink"/>
      <w:u w:val="single"/>
    </w:rPr>
  </w:style>
  <w:style w:type="paragraph" w:styleId="FootnoteText">
    <w:name w:val="footnote text"/>
    <w:basedOn w:val="Normal"/>
    <w:link w:val="FootnoteTextChar"/>
    <w:uiPriority w:val="99"/>
    <w:semiHidden/>
    <w:unhideWhenUsed/>
    <w:rsid w:val="004E00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0068"/>
    <w:rPr>
      <w:sz w:val="20"/>
      <w:szCs w:val="20"/>
    </w:rPr>
  </w:style>
  <w:style w:type="character" w:styleId="FootnoteReference">
    <w:name w:val="footnote reference"/>
    <w:basedOn w:val="DefaultParagraphFont"/>
    <w:uiPriority w:val="99"/>
    <w:semiHidden/>
    <w:unhideWhenUsed/>
    <w:rsid w:val="004E0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220805">
      <w:bodyDiv w:val="1"/>
      <w:marLeft w:val="0"/>
      <w:marRight w:val="0"/>
      <w:marTop w:val="0"/>
      <w:marBottom w:val="0"/>
      <w:divBdr>
        <w:top w:val="none" w:sz="0" w:space="0" w:color="auto"/>
        <w:left w:val="none" w:sz="0" w:space="0" w:color="auto"/>
        <w:bottom w:val="none" w:sz="0" w:space="0" w:color="auto"/>
        <w:right w:val="none" w:sz="0" w:space="0" w:color="auto"/>
      </w:divBdr>
      <w:divsChild>
        <w:div w:id="1974748470">
          <w:marLeft w:val="0"/>
          <w:marRight w:val="0"/>
          <w:marTop w:val="0"/>
          <w:marBottom w:val="0"/>
          <w:divBdr>
            <w:top w:val="none" w:sz="0" w:space="0" w:color="auto"/>
            <w:left w:val="none" w:sz="0" w:space="0" w:color="auto"/>
            <w:bottom w:val="none" w:sz="0" w:space="0" w:color="auto"/>
            <w:right w:val="none" w:sz="0" w:space="0" w:color="auto"/>
          </w:divBdr>
          <w:divsChild>
            <w:div w:id="1122383982">
              <w:marLeft w:val="0"/>
              <w:marRight w:val="0"/>
              <w:marTop w:val="0"/>
              <w:marBottom w:val="0"/>
              <w:divBdr>
                <w:top w:val="none" w:sz="0" w:space="0" w:color="auto"/>
                <w:left w:val="none" w:sz="0" w:space="0" w:color="auto"/>
                <w:bottom w:val="none" w:sz="0" w:space="0" w:color="auto"/>
                <w:right w:val="none" w:sz="0" w:space="0" w:color="auto"/>
              </w:divBdr>
              <w:divsChild>
                <w:div w:id="128669697">
                  <w:marLeft w:val="0"/>
                  <w:marRight w:val="0"/>
                  <w:marTop w:val="0"/>
                  <w:marBottom w:val="0"/>
                  <w:divBdr>
                    <w:top w:val="none" w:sz="0" w:space="0" w:color="auto"/>
                    <w:left w:val="none" w:sz="0" w:space="0" w:color="auto"/>
                    <w:bottom w:val="none" w:sz="0" w:space="0" w:color="auto"/>
                    <w:right w:val="none" w:sz="0" w:space="0" w:color="auto"/>
                  </w:divBdr>
                  <w:divsChild>
                    <w:div w:id="51053574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0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dccf9-bac7-492c-83cb-724162364e3e">
      <Terms xmlns="http://schemas.microsoft.com/office/infopath/2007/PartnerControls"/>
    </lcf76f155ced4ddcb4097134ff3c332f>
    <TaxCatchAll xmlns="a9f8dcea-12c8-49d2-85fe-fc23b4d63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80750E6AB98408B8C81581D9640C7" ma:contentTypeVersion="18" ma:contentTypeDescription="Create a new document." ma:contentTypeScope="" ma:versionID="f4276e6817dc7a84a4549bf2b87acae5">
  <xsd:schema xmlns:xsd="http://www.w3.org/2001/XMLSchema" xmlns:xs="http://www.w3.org/2001/XMLSchema" xmlns:p="http://schemas.microsoft.com/office/2006/metadata/properties" xmlns:ns2="a13dccf9-bac7-492c-83cb-724162364e3e" xmlns:ns3="a9f8dcea-12c8-49d2-85fe-fc23b4d63b20" targetNamespace="http://schemas.microsoft.com/office/2006/metadata/properties" ma:root="true" ma:fieldsID="f06b27fce54ef6592128005d7baa6b8f" ns2:_="" ns3:_="">
    <xsd:import namespace="a13dccf9-bac7-492c-83cb-724162364e3e"/>
    <xsd:import namespace="a9f8dcea-12c8-49d2-85fe-fc23b4d63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ccf9-bac7-492c-83cb-724162364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3cd435-eccb-499f-83ef-c0a8d3e976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8dcea-12c8-49d2-85fe-fc23b4d63b2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1f1f8ab-546c-4bbb-97b0-30f2cad9accc}" ma:internalName="TaxCatchAll" ma:showField="CatchAllData" ma:web="a9f8dcea-12c8-49d2-85fe-fc23b4d63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034A6-AC09-478A-A2E5-E1106C887D38}">
  <ds:schemaRefs>
    <ds:schemaRef ds:uri="http://schemas.microsoft.com/office/2006/metadata/properties"/>
    <ds:schemaRef ds:uri="http://schemas.microsoft.com/office/infopath/2007/PartnerControls"/>
    <ds:schemaRef ds:uri="a13dccf9-bac7-492c-83cb-724162364e3e"/>
    <ds:schemaRef ds:uri="a9f8dcea-12c8-49d2-85fe-fc23b4d63b20"/>
  </ds:schemaRefs>
</ds:datastoreItem>
</file>

<file path=customXml/itemProps2.xml><?xml version="1.0" encoding="utf-8"?>
<ds:datastoreItem xmlns:ds="http://schemas.openxmlformats.org/officeDocument/2006/customXml" ds:itemID="{E886A15F-38A4-4694-B26E-89714A9BD15B}">
  <ds:schemaRefs>
    <ds:schemaRef ds:uri="http://schemas.microsoft.com/sharepoint/v3/contenttype/forms"/>
  </ds:schemaRefs>
</ds:datastoreItem>
</file>

<file path=customXml/itemProps3.xml><?xml version="1.0" encoding="utf-8"?>
<ds:datastoreItem xmlns:ds="http://schemas.openxmlformats.org/officeDocument/2006/customXml" ds:itemID="{D085AE8D-B67E-45FD-89FE-DE77734E0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ccf9-bac7-492c-83cb-724162364e3e"/>
    <ds:schemaRef ds:uri="a9f8dcea-12c8-49d2-85fe-fc23b4d63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F859A-74D5-4FDC-83F0-141021F0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Economic Diversification</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Cahoon</dc:creator>
  <cp:keywords/>
  <dc:description/>
  <cp:lastModifiedBy>Rosina Panenko</cp:lastModifiedBy>
  <cp:revision>2</cp:revision>
  <dcterms:created xsi:type="dcterms:W3CDTF">2024-06-03T14:34:00Z</dcterms:created>
  <dcterms:modified xsi:type="dcterms:W3CDTF">2024-06-03T14:34:00Z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0x01010094680750E6AB98408B8C81581D9640C7</vt:lpwstr>
  </property>
  <property fmtid="{D5CDD505-2E9C-101B-9397-08002B2CF9AE}" pid="3" name="MediaServiceImageTags">
    <vt:lpwstr/>
  </property>
</Properties>
</file>